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54" w:rsidRPr="002062AE" w:rsidRDefault="005A0436">
      <w:pPr>
        <w:rPr>
          <w:b/>
          <w:sz w:val="44"/>
          <w:szCs w:val="44"/>
        </w:rPr>
      </w:pPr>
      <w:r w:rsidRPr="002062AE">
        <w:rPr>
          <w:b/>
          <w:sz w:val="44"/>
          <w:szCs w:val="44"/>
        </w:rPr>
        <w:t>Over pensioen</w:t>
      </w:r>
      <w:r w:rsidR="00710DA9" w:rsidRPr="002062AE">
        <w:rPr>
          <w:b/>
          <w:sz w:val="44"/>
          <w:szCs w:val="44"/>
        </w:rPr>
        <w:t xml:space="preserve">educatie en -communicatie; </w:t>
      </w:r>
    </w:p>
    <w:p w:rsidR="005B59A3" w:rsidRDefault="00DE6798">
      <w:r>
        <w:t xml:space="preserve">Als er één ding uit het onderzoek van </w:t>
      </w:r>
      <w:proofErr w:type="spellStart"/>
      <w:r>
        <w:t>Motivaction</w:t>
      </w:r>
      <w:proofErr w:type="spellEnd"/>
      <w:r>
        <w:t xml:space="preserve"> naar voren komt, is het wel het grote gebrek aan pensioenkennis.</w:t>
      </w:r>
      <w:r w:rsidR="00403437">
        <w:t xml:space="preserve"> Het rapport is te vinden</w:t>
      </w:r>
      <w:r w:rsidR="000B29BD">
        <w:t xml:space="preserve"> op</w:t>
      </w:r>
      <w:r w:rsidR="000F2EB7">
        <w:t>:</w:t>
      </w:r>
      <w:r w:rsidR="000F2EB7" w:rsidRPr="000F2EB7">
        <w:t xml:space="preserve"> </w:t>
      </w:r>
      <w:hyperlink r:id="rId6" w:history="1">
        <w:proofErr w:type="spellStart"/>
        <w:r w:rsidR="000B29BD" w:rsidRPr="000F2EB7">
          <w:rPr>
            <w:rStyle w:val="Hyperlink"/>
            <w:u w:val="none"/>
          </w:rPr>
          <w:t>Motivaction</w:t>
        </w:r>
        <w:proofErr w:type="spellEnd"/>
      </w:hyperlink>
    </w:p>
    <w:p w:rsidR="00D96588" w:rsidRDefault="00DE6798">
      <w:r>
        <w:t>Hier ligt een grote taak en verantwoordelijkheid bij met name de bestuurders van pensioenfondse</w:t>
      </w:r>
      <w:r w:rsidR="00AF50A2">
        <w:t>n.</w:t>
      </w:r>
    </w:p>
    <w:p w:rsidR="00D96588" w:rsidRDefault="00D96588">
      <w:r>
        <w:t>Waarom? Omdat</w:t>
      </w:r>
      <w:r w:rsidR="00DE6798">
        <w:t xml:space="preserve"> de meeste werkenden</w:t>
      </w:r>
      <w:r w:rsidR="00AD556D">
        <w:t xml:space="preserve"> verplicht</w:t>
      </w:r>
      <w:r w:rsidR="00DE6798">
        <w:t xml:space="preserve"> pensioen op</w:t>
      </w:r>
      <w:r>
        <w:t>bouwen</w:t>
      </w:r>
      <w:r w:rsidR="00DE6798">
        <w:t xml:space="preserve"> via deelname aan een pensioenregeling die de werkgever – als onderdeel van het arbeidsvoorwaardenpakket – aanbiedt. </w:t>
      </w:r>
    </w:p>
    <w:p w:rsidR="00D96588" w:rsidRDefault="00D96588" w:rsidP="00DE6798">
      <w:pPr>
        <w:rPr>
          <w:rFonts w:eastAsia="Calibri"/>
          <w:szCs w:val="20"/>
        </w:rPr>
      </w:pPr>
      <w:r>
        <w:rPr>
          <w:rFonts w:eastAsia="Calibri"/>
          <w:szCs w:val="20"/>
        </w:rPr>
        <w:t>P</w:t>
      </w:r>
      <w:r w:rsidR="00DE6798" w:rsidRPr="00DE6798">
        <w:rPr>
          <w:rFonts w:eastAsia="Calibri"/>
          <w:szCs w:val="20"/>
        </w:rPr>
        <w:t xml:space="preserve">ensioenfondsbestuurders </w:t>
      </w:r>
      <w:r>
        <w:rPr>
          <w:rFonts w:eastAsia="Calibri"/>
          <w:szCs w:val="20"/>
        </w:rPr>
        <w:t xml:space="preserve">dienen </w:t>
      </w:r>
      <w:r w:rsidR="00DE6798" w:rsidRPr="00DE6798">
        <w:rPr>
          <w:rFonts w:eastAsia="Calibri"/>
          <w:szCs w:val="20"/>
        </w:rPr>
        <w:t>de belangen van de deelnemers voorop te stellen</w:t>
      </w:r>
      <w:r>
        <w:rPr>
          <w:rFonts w:eastAsia="Calibri"/>
          <w:szCs w:val="20"/>
        </w:rPr>
        <w:t xml:space="preserve">; </w:t>
      </w:r>
      <w:r w:rsidR="00DE6798" w:rsidRPr="00DE6798">
        <w:rPr>
          <w:rFonts w:eastAsia="Calibri"/>
          <w:szCs w:val="20"/>
        </w:rPr>
        <w:t>dat is</w:t>
      </w:r>
      <w:r>
        <w:rPr>
          <w:rFonts w:eastAsia="Calibri"/>
          <w:szCs w:val="20"/>
        </w:rPr>
        <w:t xml:space="preserve"> in essentie</w:t>
      </w:r>
      <w:r w:rsidR="00DE6798" w:rsidRPr="00DE6798">
        <w:rPr>
          <w:rFonts w:eastAsia="Calibri"/>
          <w:szCs w:val="20"/>
        </w:rPr>
        <w:t xml:space="preserve"> hun taak</w:t>
      </w:r>
      <w:r>
        <w:rPr>
          <w:rFonts w:eastAsia="Calibri"/>
          <w:szCs w:val="20"/>
        </w:rPr>
        <w:t>.</w:t>
      </w:r>
      <w:r w:rsidR="00DE6798" w:rsidRPr="00DE6798">
        <w:rPr>
          <w:rFonts w:eastAsia="Calibri"/>
          <w:szCs w:val="20"/>
        </w:rPr>
        <w:t xml:space="preserve"> </w:t>
      </w:r>
      <w:r w:rsidR="00AF50A2">
        <w:rPr>
          <w:rFonts w:eastAsia="Calibri"/>
          <w:szCs w:val="20"/>
        </w:rPr>
        <w:t>Daar horen pensioen</w:t>
      </w:r>
      <w:r w:rsidR="004D3554">
        <w:rPr>
          <w:rFonts w:eastAsia="Calibri"/>
          <w:szCs w:val="20"/>
        </w:rPr>
        <w:t>educatie en</w:t>
      </w:r>
      <w:r w:rsidR="00AF50A2">
        <w:rPr>
          <w:rFonts w:eastAsia="Calibri"/>
          <w:szCs w:val="20"/>
        </w:rPr>
        <w:t xml:space="preserve"> pensioencommunicatie nadrukkelijk bij.</w:t>
      </w:r>
    </w:p>
    <w:p w:rsidR="00DE6798" w:rsidRPr="00DE6798" w:rsidRDefault="00AF50A2" w:rsidP="00DE6798">
      <w:pPr>
        <w:rPr>
          <w:rFonts w:eastAsia="Calibri"/>
          <w:szCs w:val="20"/>
        </w:rPr>
      </w:pPr>
      <w:r>
        <w:rPr>
          <w:rFonts w:eastAsia="Calibri"/>
          <w:szCs w:val="20"/>
        </w:rPr>
        <w:t xml:space="preserve">Een pensioenfondsbestuur </w:t>
      </w:r>
      <w:r w:rsidR="00D96588">
        <w:rPr>
          <w:rFonts w:eastAsia="Calibri"/>
          <w:szCs w:val="20"/>
        </w:rPr>
        <w:t>h</w:t>
      </w:r>
      <w:r>
        <w:rPr>
          <w:rFonts w:eastAsia="Calibri"/>
          <w:szCs w:val="20"/>
        </w:rPr>
        <w:t>oort</w:t>
      </w:r>
      <w:r w:rsidR="00D96588">
        <w:rPr>
          <w:rFonts w:eastAsia="Calibri"/>
          <w:szCs w:val="20"/>
        </w:rPr>
        <w:t xml:space="preserve"> – in het kader van effectieve pensioencommunicatie - </w:t>
      </w:r>
      <w:r w:rsidR="00DE6798" w:rsidRPr="00DE6798">
        <w:rPr>
          <w:rFonts w:eastAsia="Calibri"/>
          <w:szCs w:val="20"/>
        </w:rPr>
        <w:t>te waarschuwen voor de grote risico’s van de plannen van de VVD, D’66 en d</w:t>
      </w:r>
      <w:r w:rsidR="004D3554">
        <w:rPr>
          <w:rFonts w:eastAsia="Calibri"/>
          <w:szCs w:val="20"/>
        </w:rPr>
        <w:t>e</w:t>
      </w:r>
      <w:r w:rsidR="00DE6798" w:rsidRPr="00DE6798">
        <w:rPr>
          <w:rFonts w:eastAsia="Calibri"/>
          <w:szCs w:val="20"/>
        </w:rPr>
        <w:t xml:space="preserve"> CU voor de ‘hervorming’ van het pensioenstelsel, voor zover die nu bekend zijn. Deze partijen willen naar een stelsel van “individuele pensioenpotjes op basis van beschikbare premieregelingen”. Het bestuur zou moeten aangeven wat de uiteindelijke gevolgen daarvan kunnen zijn voor mensen die pensioen opbouwen, n.l.: geluk- en pechgeneraties, deconfitures, woekerpensioenen e.d. </w:t>
      </w:r>
    </w:p>
    <w:p w:rsidR="00DE6798" w:rsidRPr="00DE6798" w:rsidRDefault="00DE6798" w:rsidP="00DE6798">
      <w:pPr>
        <w:rPr>
          <w:rFonts w:eastAsia="Calibri"/>
          <w:szCs w:val="20"/>
        </w:rPr>
      </w:pPr>
      <w:r w:rsidRPr="00DE6798">
        <w:rPr>
          <w:rFonts w:eastAsia="Calibri"/>
          <w:szCs w:val="20"/>
        </w:rPr>
        <w:t xml:space="preserve">In de eerder genoemde politieke kringen leven opvattingen over het huidige, op collectieve risicodeling gebaseerde pensioenstelsel die – als zij het voor het zeggen hadden – ertoe leiden dat dit stelsel - het op één na beste van de wereld volgens </w:t>
      </w:r>
      <w:proofErr w:type="spellStart"/>
      <w:r w:rsidRPr="00DE6798">
        <w:rPr>
          <w:rFonts w:eastAsia="Calibri"/>
          <w:szCs w:val="20"/>
        </w:rPr>
        <w:t>Mercer</w:t>
      </w:r>
      <w:proofErr w:type="spellEnd"/>
      <w:r w:rsidRPr="00DE6798">
        <w:rPr>
          <w:rFonts w:eastAsia="Calibri"/>
          <w:szCs w:val="20"/>
        </w:rPr>
        <w:t>- wordt afgebroken.</w:t>
      </w:r>
    </w:p>
    <w:p w:rsidR="00E22D26" w:rsidRDefault="00E22D26" w:rsidP="00D96588">
      <w:pPr>
        <w:rPr>
          <w:szCs w:val="20"/>
        </w:rPr>
      </w:pPr>
      <w:r>
        <w:rPr>
          <w:szCs w:val="20"/>
        </w:rPr>
        <w:t xml:space="preserve">Het ligt dan ook in de rede dat </w:t>
      </w:r>
      <w:r w:rsidR="00AF50A2">
        <w:rPr>
          <w:szCs w:val="20"/>
        </w:rPr>
        <w:t xml:space="preserve">bestuurders van pensioenfondsen </w:t>
      </w:r>
      <w:r w:rsidR="00D96588" w:rsidRPr="00D96588">
        <w:rPr>
          <w:szCs w:val="20"/>
        </w:rPr>
        <w:t xml:space="preserve">veel krachtiger </w:t>
      </w:r>
      <w:r>
        <w:rPr>
          <w:szCs w:val="20"/>
        </w:rPr>
        <w:t xml:space="preserve">van zich </w:t>
      </w:r>
      <w:r w:rsidR="00D96588" w:rsidRPr="00D96588">
        <w:rPr>
          <w:szCs w:val="20"/>
        </w:rPr>
        <w:t xml:space="preserve">laten horen als het erom gaat wat goed is voor de deelnemers en zich verre houden van– of zich zelfs, zo nodig in rechte, moeten verzetten tegen- allerlei ondoordachte of risicovolle maatregelen van politiek Den Haag. </w:t>
      </w:r>
    </w:p>
    <w:p w:rsidR="00AD556D" w:rsidRDefault="00AD556D" w:rsidP="00D96588">
      <w:pPr>
        <w:rPr>
          <w:szCs w:val="20"/>
        </w:rPr>
      </w:pPr>
      <w:r>
        <w:rPr>
          <w:szCs w:val="20"/>
        </w:rPr>
        <w:t xml:space="preserve">Tot nu toe hebben zij echter nagelaten serieuze pensioenopvoeding te geven, waardoor bij de belanghebbenden – de deelnemers die uit hoofde van hun pensioenaanspraken een vordering hebben op de fondsen – sprake </w:t>
      </w:r>
      <w:r w:rsidR="004D3554">
        <w:rPr>
          <w:szCs w:val="20"/>
        </w:rPr>
        <w:t xml:space="preserve">is van </w:t>
      </w:r>
      <w:r>
        <w:rPr>
          <w:szCs w:val="20"/>
        </w:rPr>
        <w:t xml:space="preserve">een enorme kenniskloof. En daar maakt de overheid </w:t>
      </w:r>
      <w:r w:rsidR="004D3554">
        <w:rPr>
          <w:szCs w:val="20"/>
        </w:rPr>
        <w:t xml:space="preserve">– met haar grote belangen als werkgever - </w:t>
      </w:r>
      <w:r>
        <w:rPr>
          <w:szCs w:val="20"/>
        </w:rPr>
        <w:t xml:space="preserve">op listige wijze </w:t>
      </w:r>
      <w:r w:rsidR="004D3554">
        <w:rPr>
          <w:szCs w:val="20"/>
        </w:rPr>
        <w:t xml:space="preserve">als wetgever </w:t>
      </w:r>
      <w:r>
        <w:rPr>
          <w:szCs w:val="20"/>
        </w:rPr>
        <w:t>misbruik van.</w:t>
      </w:r>
    </w:p>
    <w:p w:rsidR="00D96588" w:rsidRPr="00D96588" w:rsidRDefault="00D96588" w:rsidP="00D96588">
      <w:pPr>
        <w:rPr>
          <w:szCs w:val="20"/>
        </w:rPr>
      </w:pPr>
      <w:r w:rsidRPr="00D96588">
        <w:rPr>
          <w:iCs/>
          <w:szCs w:val="20"/>
        </w:rPr>
        <w:t xml:space="preserve">Veel </w:t>
      </w:r>
      <w:r w:rsidR="004D3554">
        <w:rPr>
          <w:iCs/>
          <w:szCs w:val="20"/>
        </w:rPr>
        <w:t xml:space="preserve">deelnemers van pensioenfondsen </w:t>
      </w:r>
      <w:r w:rsidRPr="00D96588">
        <w:rPr>
          <w:iCs/>
          <w:szCs w:val="20"/>
        </w:rPr>
        <w:t>begrijpen niet dat</w:t>
      </w:r>
      <w:r w:rsidR="004D3554">
        <w:rPr>
          <w:iCs/>
          <w:szCs w:val="20"/>
        </w:rPr>
        <w:t xml:space="preserve"> hun</w:t>
      </w:r>
      <w:r w:rsidRPr="00D96588">
        <w:rPr>
          <w:iCs/>
          <w:szCs w:val="20"/>
        </w:rPr>
        <w:t xml:space="preserve"> </w:t>
      </w:r>
      <w:r w:rsidR="00E22D26">
        <w:rPr>
          <w:iCs/>
          <w:szCs w:val="20"/>
        </w:rPr>
        <w:t>fondsbestuurders</w:t>
      </w:r>
      <w:r w:rsidRPr="00D96588">
        <w:rPr>
          <w:iCs/>
          <w:szCs w:val="20"/>
        </w:rPr>
        <w:t xml:space="preserve"> zich niet met hand en tand he</w:t>
      </w:r>
      <w:r w:rsidR="00E22D26">
        <w:rPr>
          <w:iCs/>
          <w:szCs w:val="20"/>
        </w:rPr>
        <w:t>bben</w:t>
      </w:r>
      <w:r w:rsidRPr="00D96588">
        <w:rPr>
          <w:iCs/>
          <w:szCs w:val="20"/>
        </w:rPr>
        <w:t xml:space="preserve"> verzet tegen de doorgeschoten knevelarij die de invoering van </w:t>
      </w:r>
      <w:r w:rsidR="00E22D26">
        <w:rPr>
          <w:iCs/>
          <w:szCs w:val="20"/>
        </w:rPr>
        <w:t>de wet</w:t>
      </w:r>
      <w:r w:rsidRPr="00D96588">
        <w:rPr>
          <w:iCs/>
          <w:szCs w:val="20"/>
        </w:rPr>
        <w:t xml:space="preserve"> Nieuw Financieel Toetsingskader</w:t>
      </w:r>
      <w:r w:rsidR="00E22D26">
        <w:rPr>
          <w:iCs/>
          <w:szCs w:val="20"/>
        </w:rPr>
        <w:t xml:space="preserve"> (</w:t>
      </w:r>
      <w:proofErr w:type="spellStart"/>
      <w:r w:rsidR="00E22D26">
        <w:rPr>
          <w:iCs/>
          <w:szCs w:val="20"/>
        </w:rPr>
        <w:t>nFTK</w:t>
      </w:r>
      <w:proofErr w:type="spellEnd"/>
      <w:r w:rsidR="00E22D26">
        <w:rPr>
          <w:iCs/>
          <w:szCs w:val="20"/>
        </w:rPr>
        <w:t>)</w:t>
      </w:r>
      <w:r w:rsidRPr="00D96588">
        <w:rPr>
          <w:iCs/>
          <w:szCs w:val="20"/>
        </w:rPr>
        <w:t xml:space="preserve"> met zich mee heeft gebracht en die, ondanks de meer dan riante vermogenspositie van </w:t>
      </w:r>
      <w:r w:rsidR="00E22D26">
        <w:rPr>
          <w:iCs/>
          <w:szCs w:val="20"/>
        </w:rPr>
        <w:t>de meeste</w:t>
      </w:r>
      <w:r w:rsidRPr="00D96588">
        <w:rPr>
          <w:iCs/>
          <w:szCs w:val="20"/>
        </w:rPr>
        <w:t xml:space="preserve"> fonds</w:t>
      </w:r>
      <w:r w:rsidR="00E22D26">
        <w:rPr>
          <w:iCs/>
          <w:szCs w:val="20"/>
        </w:rPr>
        <w:t>en</w:t>
      </w:r>
      <w:r w:rsidRPr="00D96588">
        <w:rPr>
          <w:iCs/>
          <w:szCs w:val="20"/>
        </w:rPr>
        <w:t>, nu al jaren zorgt voor een steeds verdergaande terugval in koopkracht van de rechthebbenden.</w:t>
      </w:r>
    </w:p>
    <w:p w:rsidR="00D96588" w:rsidRPr="00D96588" w:rsidRDefault="00D96588" w:rsidP="00D96588">
      <w:pPr>
        <w:rPr>
          <w:szCs w:val="20"/>
        </w:rPr>
      </w:pPr>
      <w:r w:rsidRPr="00D96588">
        <w:rPr>
          <w:szCs w:val="20"/>
        </w:rPr>
        <w:t>Zeker, het huidige stelsel behoeft op onderdelen enige aanpassing; dit betekent niet dat het kind met het badwater dient te worden weggegooid.</w:t>
      </w:r>
    </w:p>
    <w:p w:rsidR="00DE6798" w:rsidRDefault="00DE6798">
      <w:pPr>
        <w:rPr>
          <w:szCs w:val="20"/>
        </w:rPr>
      </w:pPr>
    </w:p>
    <w:p w:rsidR="004D3554" w:rsidRDefault="004D3554">
      <w:pPr>
        <w:rPr>
          <w:szCs w:val="20"/>
        </w:rPr>
      </w:pPr>
      <w:r>
        <w:rPr>
          <w:szCs w:val="20"/>
        </w:rPr>
        <w:t>Harry Bollema</w:t>
      </w:r>
    </w:p>
    <w:p w:rsidR="00676C46" w:rsidRDefault="00676C46" w:rsidP="008E2F6A">
      <w:pPr>
        <w:ind w:right="-851"/>
        <w:rPr>
          <w:szCs w:val="20"/>
        </w:rPr>
      </w:pPr>
      <w:r>
        <w:rPr>
          <w:szCs w:val="20"/>
        </w:rPr>
        <w:t>Secretaris Stichting Pensioenbehoud</w:t>
      </w:r>
      <w:r w:rsidR="008E2F6A">
        <w:rPr>
          <w:szCs w:val="20"/>
        </w:rPr>
        <w:tab/>
      </w:r>
      <w:r w:rsidR="008E2F6A">
        <w:rPr>
          <w:szCs w:val="20"/>
        </w:rPr>
        <w:tab/>
      </w:r>
      <w:r w:rsidR="008E2F6A">
        <w:rPr>
          <w:szCs w:val="20"/>
        </w:rPr>
        <w:tab/>
      </w:r>
      <w:r w:rsidR="008E2F6A">
        <w:rPr>
          <w:szCs w:val="20"/>
        </w:rPr>
        <w:tab/>
      </w:r>
      <w:r w:rsidR="008E2F6A">
        <w:rPr>
          <w:szCs w:val="20"/>
        </w:rPr>
        <w:tab/>
      </w:r>
      <w:r w:rsidR="008E2F6A">
        <w:rPr>
          <w:szCs w:val="20"/>
        </w:rPr>
        <w:tab/>
        <w:t xml:space="preserve">       print: </w:t>
      </w:r>
      <w:hyperlink r:id="rId7" w:history="1">
        <w:r w:rsidR="002062AE">
          <w:rPr>
            <w:rStyle w:val="Hyperlink"/>
            <w:szCs w:val="20"/>
            <w:u w:val="none"/>
          </w:rPr>
          <w:t>u</w:t>
        </w:r>
        <w:r w:rsidR="008E2F6A" w:rsidRPr="003D5581">
          <w:rPr>
            <w:rStyle w:val="Hyperlink"/>
            <w:szCs w:val="20"/>
            <w:u w:val="none"/>
          </w:rPr>
          <w:t>pdate</w:t>
        </w:r>
      </w:hyperlink>
      <w:r w:rsidR="008E2F6A">
        <w:rPr>
          <w:szCs w:val="20"/>
        </w:rPr>
        <w:t xml:space="preserve"> </w:t>
      </w:r>
      <w:r w:rsidR="009A0E5F">
        <w:rPr>
          <w:szCs w:val="20"/>
        </w:rPr>
        <w:fldChar w:fldCharType="begin"/>
      </w:r>
      <w:r w:rsidR="008E2F6A">
        <w:rPr>
          <w:szCs w:val="20"/>
        </w:rPr>
        <w:instrText xml:space="preserve"> TIME \@ "d-M-yyyy" </w:instrText>
      </w:r>
      <w:r w:rsidR="009A0E5F">
        <w:rPr>
          <w:szCs w:val="20"/>
        </w:rPr>
        <w:fldChar w:fldCharType="separate"/>
      </w:r>
      <w:r w:rsidR="002C4522">
        <w:rPr>
          <w:noProof/>
          <w:szCs w:val="20"/>
        </w:rPr>
        <w:t>13-2-2018</w:t>
      </w:r>
      <w:r w:rsidR="009A0E5F">
        <w:rPr>
          <w:szCs w:val="20"/>
        </w:rPr>
        <w:fldChar w:fldCharType="end"/>
      </w:r>
    </w:p>
    <w:p w:rsidR="000B29BD" w:rsidRDefault="000B29BD">
      <w:pPr>
        <w:rPr>
          <w:szCs w:val="20"/>
        </w:rPr>
      </w:pPr>
    </w:p>
    <w:p w:rsidR="000B29BD" w:rsidRDefault="000B29BD">
      <w:pPr>
        <w:rPr>
          <w:szCs w:val="20"/>
        </w:rPr>
      </w:pPr>
    </w:p>
    <w:p w:rsidR="002062AE" w:rsidRDefault="002062AE">
      <w:pPr>
        <w:rPr>
          <w:szCs w:val="20"/>
        </w:rPr>
      </w:pPr>
    </w:p>
    <w:p w:rsidR="000B29BD" w:rsidRDefault="000B29BD" w:rsidP="000B29BD">
      <w:pPr>
        <w:ind w:left="-142"/>
        <w:rPr>
          <w:szCs w:val="20"/>
        </w:rPr>
      </w:pPr>
      <w:r w:rsidRPr="000B29BD">
        <w:rPr>
          <w:noProof/>
          <w:szCs w:val="20"/>
          <w:lang w:eastAsia="nl-NL"/>
        </w:rPr>
        <w:drawing>
          <wp:inline distT="0" distB="0" distL="0" distR="0">
            <wp:extent cx="5760720" cy="902192"/>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02192"/>
                    </a:xfrm>
                    <a:prstGeom prst="rect">
                      <a:avLst/>
                    </a:prstGeom>
                    <a:noFill/>
                    <a:ln w="9525">
                      <a:noFill/>
                      <a:miter lim="800000"/>
                      <a:headEnd/>
                      <a:tailEnd/>
                    </a:ln>
                  </pic:spPr>
                </pic:pic>
              </a:graphicData>
            </a:graphic>
          </wp:inline>
        </w:drawing>
      </w:r>
    </w:p>
    <w:p w:rsidR="0015714D" w:rsidRDefault="0015714D" w:rsidP="000B29BD">
      <w:pPr>
        <w:ind w:left="-142"/>
        <w:rPr>
          <w:szCs w:val="20"/>
        </w:rPr>
      </w:pPr>
    </w:p>
    <w:p w:rsidR="0015714D" w:rsidRPr="00604EDC" w:rsidRDefault="0015714D" w:rsidP="0015714D">
      <w:pPr>
        <w:spacing w:line="240" w:lineRule="auto"/>
        <w:ind w:left="-851" w:right="-1169"/>
        <w:rPr>
          <w:rFonts w:cstheme="minorHAnsi"/>
          <w:color w:val="8496B0" w:themeColor="text2" w:themeTint="99"/>
        </w:rPr>
      </w:pPr>
      <w:r w:rsidRPr="00604EDC">
        <w:rPr>
          <w:rFonts w:cstheme="minorHAnsi"/>
          <w:color w:val="8496B0" w:themeColor="text2" w:themeTint="99"/>
        </w:rPr>
        <w:t>____________________________________________________________</w:t>
      </w:r>
      <w:r>
        <w:rPr>
          <w:rFonts w:cstheme="minorHAnsi"/>
          <w:color w:val="8496B0" w:themeColor="text2" w:themeTint="99"/>
        </w:rPr>
        <w:t>__________________________________________</w:t>
      </w:r>
    </w:p>
    <w:p w:rsidR="0015714D" w:rsidRPr="006B1E88" w:rsidRDefault="009A0E5F" w:rsidP="006B1E88">
      <w:pPr>
        <w:spacing w:line="240" w:lineRule="auto"/>
        <w:ind w:left="-851" w:right="-1028"/>
        <w:rPr>
          <w:rFonts w:cstheme="minorHAnsi"/>
          <w:color w:val="2E74B5" w:themeColor="accent5" w:themeShade="BF"/>
          <w:sz w:val="14"/>
          <w:szCs w:val="14"/>
          <w:u w:val="single"/>
        </w:rPr>
      </w:pPr>
      <w:hyperlink r:id="rId9" w:history="1">
        <w:r w:rsidR="0015714D" w:rsidRPr="006B1E88">
          <w:rPr>
            <w:rStyle w:val="Hyperlink"/>
            <w:rFonts w:cstheme="minorHAnsi"/>
            <w:color w:val="2E74B5" w:themeColor="accent5" w:themeShade="BF"/>
            <w:sz w:val="14"/>
            <w:szCs w:val="14"/>
          </w:rPr>
          <w:t>Stichting Pensioenbehoud</w:t>
        </w:r>
      </w:hyperlink>
      <w:r w:rsidR="0015714D" w:rsidRPr="006B1E88">
        <w:rPr>
          <w:rFonts w:cstheme="minorHAnsi"/>
          <w:color w:val="2E74B5" w:themeColor="accent5" w:themeShade="BF"/>
          <w:sz w:val="14"/>
          <w:szCs w:val="14"/>
        </w:rPr>
        <w:t xml:space="preserve"> , </w:t>
      </w:r>
      <w:hyperlink r:id="rId10" w:history="1">
        <w:r w:rsidR="0015714D" w:rsidRPr="006B1E88">
          <w:rPr>
            <w:rStyle w:val="Hyperlink"/>
            <w:rFonts w:cstheme="minorHAnsi"/>
            <w:color w:val="2E74B5" w:themeColor="accent5" w:themeShade="BF"/>
            <w:sz w:val="14"/>
            <w:szCs w:val="14"/>
          </w:rPr>
          <w:t>Loon voor Later</w:t>
        </w:r>
      </w:hyperlink>
      <w:r w:rsidR="0015714D" w:rsidRPr="006B1E88">
        <w:rPr>
          <w:rFonts w:cstheme="minorHAnsi"/>
          <w:color w:val="2E74B5" w:themeColor="accent5" w:themeShade="BF"/>
          <w:sz w:val="14"/>
          <w:szCs w:val="14"/>
        </w:rPr>
        <w:t xml:space="preserve"> </w:t>
      </w:r>
      <w:r w:rsidR="002C4522" w:rsidRPr="006B1E88">
        <w:rPr>
          <w:rFonts w:cstheme="minorHAnsi"/>
          <w:color w:val="2E74B5" w:themeColor="accent5" w:themeShade="BF"/>
          <w:sz w:val="14"/>
          <w:szCs w:val="14"/>
        </w:rPr>
        <w:t>,</w:t>
      </w:r>
      <w:proofErr w:type="spellStart"/>
      <w:r w:rsidRPr="006B1E88">
        <w:rPr>
          <w:color w:val="2E74B5" w:themeColor="accent5" w:themeShade="BF"/>
        </w:rPr>
        <w:fldChar w:fldCharType="begin"/>
      </w:r>
      <w:r w:rsidRPr="006B1E88">
        <w:rPr>
          <w:color w:val="2E74B5" w:themeColor="accent5" w:themeShade="BF"/>
        </w:rPr>
        <w:instrText>HYPERLINK "http://www.stpb.nl/"</w:instrText>
      </w:r>
      <w:r w:rsidRPr="006B1E88">
        <w:rPr>
          <w:color w:val="2E74B5" w:themeColor="accent5" w:themeShade="BF"/>
        </w:rPr>
        <w:fldChar w:fldCharType="separate"/>
      </w:r>
      <w:r w:rsidR="0015714D" w:rsidRPr="006B1E88">
        <w:rPr>
          <w:rStyle w:val="Hyperlink"/>
          <w:rFonts w:cstheme="minorHAnsi"/>
          <w:color w:val="2E74B5" w:themeColor="accent5" w:themeShade="BF"/>
          <w:sz w:val="14"/>
          <w:szCs w:val="14"/>
        </w:rPr>
        <w:t>Pensioen-Archief</w:t>
      </w:r>
      <w:proofErr w:type="spellEnd"/>
      <w:r w:rsidRPr="006B1E88">
        <w:rPr>
          <w:color w:val="2E74B5" w:themeColor="accent5" w:themeShade="BF"/>
        </w:rPr>
        <w:fldChar w:fldCharType="end"/>
      </w:r>
      <w:r w:rsidR="002C4522" w:rsidRPr="006B1E88">
        <w:rPr>
          <w:rFonts w:cstheme="minorHAnsi"/>
          <w:color w:val="2E74B5" w:themeColor="accent5" w:themeShade="BF"/>
          <w:sz w:val="14"/>
          <w:szCs w:val="14"/>
        </w:rPr>
        <w:t xml:space="preserve"> , </w:t>
      </w:r>
      <w:hyperlink r:id="rId11" w:history="1">
        <w:r w:rsidR="0015714D" w:rsidRPr="006B1E88">
          <w:rPr>
            <w:rStyle w:val="Hyperlink"/>
            <w:rFonts w:cstheme="minorHAnsi"/>
            <w:color w:val="2E74B5" w:themeColor="accent5" w:themeShade="BF"/>
            <w:sz w:val="14"/>
            <w:szCs w:val="14"/>
          </w:rPr>
          <w:t>KNVG</w:t>
        </w:r>
      </w:hyperlink>
      <w:r w:rsidR="0015714D" w:rsidRPr="006B1E88">
        <w:rPr>
          <w:rFonts w:cstheme="minorHAnsi"/>
          <w:color w:val="2E74B5" w:themeColor="accent5" w:themeShade="BF"/>
          <w:sz w:val="14"/>
          <w:szCs w:val="14"/>
        </w:rPr>
        <w:t xml:space="preserve"> </w:t>
      </w:r>
      <w:r w:rsidR="002C4522" w:rsidRPr="006B1E88">
        <w:rPr>
          <w:rFonts w:cstheme="minorHAnsi"/>
          <w:color w:val="2E74B5" w:themeColor="accent5" w:themeShade="BF"/>
          <w:sz w:val="14"/>
          <w:szCs w:val="14"/>
        </w:rPr>
        <w:t xml:space="preserve">, </w:t>
      </w:r>
      <w:hyperlink r:id="rId12" w:history="1">
        <w:r w:rsidR="0015714D" w:rsidRPr="006B1E88">
          <w:rPr>
            <w:rStyle w:val="Hyperlink"/>
            <w:rFonts w:cstheme="minorHAnsi"/>
            <w:color w:val="2E74B5" w:themeColor="accent5" w:themeShade="BF"/>
            <w:sz w:val="14"/>
            <w:szCs w:val="14"/>
          </w:rPr>
          <w:t>Opinie</w:t>
        </w:r>
      </w:hyperlink>
      <w:r w:rsidR="0015714D" w:rsidRPr="006B1E88">
        <w:rPr>
          <w:rFonts w:cstheme="minorHAnsi"/>
          <w:color w:val="2E74B5" w:themeColor="accent5" w:themeShade="BF"/>
          <w:sz w:val="14"/>
          <w:szCs w:val="14"/>
        </w:rPr>
        <w:t xml:space="preserve"> , </w:t>
      </w:r>
      <w:hyperlink r:id="rId13" w:history="1">
        <w:r w:rsidR="0015714D" w:rsidRPr="006B1E88">
          <w:rPr>
            <w:rStyle w:val="Hyperlink"/>
            <w:rFonts w:cstheme="minorHAnsi"/>
            <w:color w:val="2E74B5" w:themeColor="accent5" w:themeShade="BF"/>
            <w:sz w:val="14"/>
            <w:szCs w:val="14"/>
          </w:rPr>
          <w:t>Pensioen Inlegfactor</w:t>
        </w:r>
      </w:hyperlink>
      <w:r w:rsidR="002C4522" w:rsidRPr="006B1E88">
        <w:rPr>
          <w:color w:val="2E74B5" w:themeColor="accent5" w:themeShade="BF"/>
        </w:rPr>
        <w:t xml:space="preserve">, </w:t>
      </w:r>
      <w:hyperlink r:id="rId14" w:history="1">
        <w:r w:rsidR="0015714D" w:rsidRPr="006B1E88">
          <w:rPr>
            <w:rStyle w:val="Hyperlink"/>
            <w:rFonts w:cstheme="minorHAnsi"/>
            <w:color w:val="2E74B5" w:themeColor="accent5" w:themeShade="BF"/>
            <w:sz w:val="14"/>
            <w:szCs w:val="14"/>
          </w:rPr>
          <w:t xml:space="preserve">DNB over </w:t>
        </w:r>
        <w:proofErr w:type="spellStart"/>
        <w:r w:rsidR="0015714D" w:rsidRPr="006B1E88">
          <w:rPr>
            <w:rStyle w:val="Hyperlink"/>
            <w:rFonts w:cstheme="minorHAnsi"/>
            <w:color w:val="2E74B5" w:themeColor="accent5" w:themeShade="BF"/>
            <w:sz w:val="14"/>
            <w:szCs w:val="14"/>
          </w:rPr>
          <w:t>Doorsneepremie</w:t>
        </w:r>
        <w:proofErr w:type="spellEnd"/>
      </w:hyperlink>
      <w:r w:rsidR="002C4522" w:rsidRPr="006B1E88">
        <w:rPr>
          <w:color w:val="2E74B5" w:themeColor="accent5" w:themeShade="BF"/>
        </w:rPr>
        <w:t xml:space="preserve"> , </w:t>
      </w:r>
      <w:hyperlink r:id="rId15" w:history="1">
        <w:proofErr w:type="spellStart"/>
        <w:r w:rsidR="0015714D" w:rsidRPr="006B1E88">
          <w:rPr>
            <w:rStyle w:val="Hyperlink"/>
            <w:rFonts w:cstheme="minorHAnsi"/>
            <w:color w:val="2E74B5" w:themeColor="accent5" w:themeShade="BF"/>
            <w:sz w:val="14"/>
            <w:szCs w:val="14"/>
          </w:rPr>
          <w:t>Pensioen-Index</w:t>
        </w:r>
        <w:proofErr w:type="spellEnd"/>
      </w:hyperlink>
      <w:r w:rsidR="006B1E88" w:rsidRPr="006B1E88">
        <w:rPr>
          <w:color w:val="2E74B5" w:themeColor="accent5" w:themeShade="BF"/>
        </w:rPr>
        <w:t>,</w:t>
      </w:r>
      <w:hyperlink r:id="rId16" w:history="1">
        <w:r w:rsidR="0015714D" w:rsidRPr="006B1E88">
          <w:rPr>
            <w:rStyle w:val="Hyperlink"/>
            <w:rFonts w:cstheme="minorHAnsi"/>
            <w:color w:val="2E74B5" w:themeColor="accent5" w:themeShade="BF"/>
            <w:sz w:val="14"/>
            <w:szCs w:val="14"/>
          </w:rPr>
          <w:t>Franchise</w:t>
        </w:r>
      </w:hyperlink>
      <w:r w:rsidR="006B1E88" w:rsidRPr="006B1E88">
        <w:rPr>
          <w:rStyle w:val="Hyperlink"/>
          <w:rFonts w:cstheme="minorHAnsi"/>
          <w:color w:val="2E74B5" w:themeColor="accent5" w:themeShade="BF"/>
          <w:sz w:val="14"/>
          <w:szCs w:val="14"/>
          <w:u w:val="none"/>
        </w:rPr>
        <w:t xml:space="preserve"> ,</w:t>
      </w:r>
      <w:proofErr w:type="spellStart"/>
      <w:r w:rsidRPr="006B1E88">
        <w:rPr>
          <w:color w:val="2E74B5" w:themeColor="accent5" w:themeShade="BF"/>
        </w:rPr>
        <w:fldChar w:fldCharType="begin"/>
      </w:r>
      <w:r w:rsidRPr="006B1E88">
        <w:rPr>
          <w:color w:val="2E74B5" w:themeColor="accent5" w:themeShade="BF"/>
        </w:rPr>
        <w:instrText>HYPERLINK "http://www.abppremie.nl"</w:instrText>
      </w:r>
      <w:r w:rsidRPr="006B1E88">
        <w:rPr>
          <w:color w:val="2E74B5" w:themeColor="accent5" w:themeShade="BF"/>
        </w:rPr>
        <w:fldChar w:fldCharType="separate"/>
      </w:r>
      <w:r w:rsidR="0015714D" w:rsidRPr="006B1E88">
        <w:rPr>
          <w:rStyle w:val="Hyperlink"/>
          <w:rFonts w:cstheme="minorHAnsi"/>
          <w:color w:val="2E74B5" w:themeColor="accent5" w:themeShade="BF"/>
          <w:sz w:val="14"/>
          <w:szCs w:val="14"/>
        </w:rPr>
        <w:t>ABP-Premie</w:t>
      </w:r>
      <w:proofErr w:type="spellEnd"/>
      <w:r w:rsidRPr="006B1E88">
        <w:rPr>
          <w:color w:val="2E74B5" w:themeColor="accent5" w:themeShade="BF"/>
        </w:rPr>
        <w:fldChar w:fldCharType="end"/>
      </w:r>
    </w:p>
    <w:sectPr w:rsidR="0015714D" w:rsidRPr="006B1E88" w:rsidSect="0015714D">
      <w:headerReference w:type="default" r:id="rId17"/>
      <w:pgSz w:w="11906" w:h="16838"/>
      <w:pgMar w:top="141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5D" w:rsidRDefault="0020005D" w:rsidP="00AD556D">
      <w:pPr>
        <w:spacing w:after="0" w:line="240" w:lineRule="auto"/>
      </w:pPr>
      <w:r>
        <w:separator/>
      </w:r>
    </w:p>
  </w:endnote>
  <w:endnote w:type="continuationSeparator" w:id="0">
    <w:p w:rsidR="0020005D" w:rsidRDefault="0020005D" w:rsidP="00AD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5D" w:rsidRDefault="0020005D" w:rsidP="00AD556D">
      <w:pPr>
        <w:spacing w:after="0" w:line="240" w:lineRule="auto"/>
      </w:pPr>
      <w:r>
        <w:separator/>
      </w:r>
    </w:p>
  </w:footnote>
  <w:footnote w:type="continuationSeparator" w:id="0">
    <w:p w:rsidR="0020005D" w:rsidRDefault="0020005D" w:rsidP="00AD5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6D" w:rsidRDefault="00AD556D" w:rsidP="00AD556D">
    <w:pPr>
      <w:pStyle w:val="Koptekst"/>
      <w:tabs>
        <w:tab w:val="left" w:pos="127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6798"/>
    <w:rsid w:val="000837C4"/>
    <w:rsid w:val="000B29BD"/>
    <w:rsid w:val="000F2EB7"/>
    <w:rsid w:val="0015714D"/>
    <w:rsid w:val="0019787B"/>
    <w:rsid w:val="001A5407"/>
    <w:rsid w:val="001E0A23"/>
    <w:rsid w:val="0020005D"/>
    <w:rsid w:val="002062AE"/>
    <w:rsid w:val="00224CAC"/>
    <w:rsid w:val="002A51BA"/>
    <w:rsid w:val="002C4522"/>
    <w:rsid w:val="002C67D0"/>
    <w:rsid w:val="002D4BC3"/>
    <w:rsid w:val="002F3A25"/>
    <w:rsid w:val="003A3CC5"/>
    <w:rsid w:val="003D5581"/>
    <w:rsid w:val="00403437"/>
    <w:rsid w:val="00497B4B"/>
    <w:rsid w:val="004D3554"/>
    <w:rsid w:val="00550399"/>
    <w:rsid w:val="005A0436"/>
    <w:rsid w:val="005B59A3"/>
    <w:rsid w:val="00636F28"/>
    <w:rsid w:val="00676C46"/>
    <w:rsid w:val="006B1E88"/>
    <w:rsid w:val="00710DA9"/>
    <w:rsid w:val="007E4A9D"/>
    <w:rsid w:val="008E2F6A"/>
    <w:rsid w:val="009300DA"/>
    <w:rsid w:val="009A0E5F"/>
    <w:rsid w:val="00A73F92"/>
    <w:rsid w:val="00AD556D"/>
    <w:rsid w:val="00AF50A2"/>
    <w:rsid w:val="00C121FF"/>
    <w:rsid w:val="00C41247"/>
    <w:rsid w:val="00CA49AF"/>
    <w:rsid w:val="00D96588"/>
    <w:rsid w:val="00DC5B37"/>
    <w:rsid w:val="00DE6798"/>
    <w:rsid w:val="00E22D26"/>
    <w:rsid w:val="00E621F8"/>
    <w:rsid w:val="00F276AB"/>
    <w:rsid w:val="00FE3D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B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2F3A25"/>
    <w:pPr>
      <w:framePr w:w="7920" w:h="1980" w:hRule="exact" w:hSpace="141" w:wrap="auto" w:hAnchor="page" w:xAlign="center" w:yAlign="bottom"/>
      <w:spacing w:after="0" w:line="240" w:lineRule="auto"/>
      <w:ind w:left="2880"/>
    </w:pPr>
    <w:rPr>
      <w:rFonts w:eastAsiaTheme="majorEastAsia" w:cstheme="majorBidi"/>
      <w:sz w:val="24"/>
      <w:szCs w:val="24"/>
    </w:rPr>
  </w:style>
  <w:style w:type="paragraph" w:styleId="Koptekst">
    <w:name w:val="header"/>
    <w:basedOn w:val="Standaard"/>
    <w:link w:val="KoptekstChar"/>
    <w:uiPriority w:val="99"/>
    <w:unhideWhenUsed/>
    <w:rsid w:val="00AD55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556D"/>
  </w:style>
  <w:style w:type="paragraph" w:styleId="Voettekst">
    <w:name w:val="footer"/>
    <w:basedOn w:val="Standaard"/>
    <w:link w:val="VoettekstChar"/>
    <w:uiPriority w:val="99"/>
    <w:unhideWhenUsed/>
    <w:rsid w:val="00AD55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556D"/>
  </w:style>
  <w:style w:type="character" w:styleId="Hyperlink">
    <w:name w:val="Hyperlink"/>
    <w:basedOn w:val="Standaardalinea-lettertype"/>
    <w:uiPriority w:val="99"/>
    <w:unhideWhenUsed/>
    <w:rsid w:val="00403437"/>
    <w:rPr>
      <w:color w:val="0563C1" w:themeColor="hyperlink"/>
      <w:u w:val="single"/>
    </w:rPr>
  </w:style>
  <w:style w:type="character" w:customStyle="1" w:styleId="UnresolvedMention">
    <w:name w:val="Unresolved Mention"/>
    <w:basedOn w:val="Standaardalinea-lettertype"/>
    <w:uiPriority w:val="99"/>
    <w:semiHidden/>
    <w:unhideWhenUsed/>
    <w:rsid w:val="00403437"/>
    <w:rPr>
      <w:color w:val="808080"/>
      <w:shd w:val="clear" w:color="auto" w:fill="E6E6E6"/>
    </w:rPr>
  </w:style>
  <w:style w:type="paragraph" w:styleId="Ballontekst">
    <w:name w:val="Balloon Text"/>
    <w:basedOn w:val="Standaard"/>
    <w:link w:val="BallontekstChar"/>
    <w:uiPriority w:val="99"/>
    <w:semiHidden/>
    <w:unhideWhenUsed/>
    <w:rsid w:val="000B29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29BD"/>
    <w:rPr>
      <w:rFonts w:ascii="Tahoma" w:hAnsi="Tahoma" w:cs="Tahoma"/>
      <w:sz w:val="16"/>
      <w:szCs w:val="16"/>
    </w:rPr>
  </w:style>
  <w:style w:type="character" w:styleId="GevolgdeHyperlink">
    <w:name w:val="FollowedHyperlink"/>
    <w:basedOn w:val="Standaardalinea-lettertype"/>
    <w:uiPriority w:val="99"/>
    <w:semiHidden/>
    <w:unhideWhenUsed/>
    <w:rsid w:val="000B29B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legfactor.n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ichtingpensioenbehoud.nl/PERS/Pensioen-Educatie-Communicatie-Opinie-Pensioenbehoud.pdf" TargetMode="External"/><Relationship Id="rId12" Type="http://schemas.openxmlformats.org/officeDocument/2006/relationships/hyperlink" Target="http://www.a2opinie.n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elastingdienstpensioensite.nl/Overzicht%20AOW-inbouw%20en%20AOW-franchise.htm" TargetMode="External"/><Relationship Id="rId1" Type="http://schemas.openxmlformats.org/officeDocument/2006/relationships/styles" Target="styles.xml"/><Relationship Id="rId6" Type="http://schemas.openxmlformats.org/officeDocument/2006/relationships/hyperlink" Target="https://www.motivaction.nl/kennisplatform/nieuws-en-persberichten/nederlander-is-pensioendiscussie-beu" TargetMode="External"/><Relationship Id="rId11" Type="http://schemas.openxmlformats.org/officeDocument/2006/relationships/hyperlink" Target="http://www.knvg.nl/Default.aspx" TargetMode="External"/><Relationship Id="rId5" Type="http://schemas.openxmlformats.org/officeDocument/2006/relationships/endnotes" Target="endnotes.xml"/><Relationship Id="rId15" Type="http://schemas.openxmlformats.org/officeDocument/2006/relationships/hyperlink" Target="http://www.pensioen-index.nl" TargetMode="External"/><Relationship Id="rId10" Type="http://schemas.openxmlformats.org/officeDocument/2006/relationships/hyperlink" Target="http://www.loonvoorlater.n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tichtingpensioenbehoud.nl" TargetMode="External"/><Relationship Id="rId14" Type="http://schemas.openxmlformats.org/officeDocument/2006/relationships/hyperlink" Target="http://www.stichtingpensioenbehoud.nl/nieuwsbrieven/356-standpunt-dnb-over-doorsneepremie-onjuist-onderbouwd-15-juni-201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596</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Bollema</dc:creator>
  <cp:keywords>Pensioen Communicatie CNV FNV Dekkingsgraad Pensioenfondsen AFM WFT Hypotheken Banken Verzekeringen Pensioenen Banksparen Fiscalenregelingen MBO - HBO Docenten Assurantie- en Bankzaken Her- en Bijscholing Kassa Radar AFM DNB Arnoud</cp:keywords>
  <cp:lastModifiedBy>Arnoud WillemB</cp:lastModifiedBy>
  <cp:revision>6</cp:revision>
  <dcterms:created xsi:type="dcterms:W3CDTF">2018-02-13T11:53:00Z</dcterms:created>
  <dcterms:modified xsi:type="dcterms:W3CDTF">2018-02-13T14:49:00Z</dcterms:modified>
</cp:coreProperties>
</file>